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F9A7" w14:textId="20745448" w:rsidR="005B0121" w:rsidRDefault="005B0121"/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548"/>
        <w:gridCol w:w="2151"/>
        <w:gridCol w:w="1919"/>
        <w:gridCol w:w="2184"/>
      </w:tblGrid>
      <w:tr w:rsidR="005B0121" w:rsidRPr="00E45047" w14:paraId="03FCF5CF" w14:textId="77777777" w:rsidTr="00E728E5">
        <w:trPr>
          <w:trHeight w:val="91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62BD9" w14:textId="6B081C23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6"/>
                <w:szCs w:val="36"/>
              </w:rPr>
              <w:t>IVI Slogan Competition Application Form</w:t>
            </w:r>
          </w:p>
        </w:tc>
      </w:tr>
      <w:tr w:rsidR="005B0121" w:rsidRPr="00E45047" w14:paraId="3DD3AC10" w14:textId="77777777" w:rsidTr="00E728E5">
        <w:trPr>
          <w:trHeight w:val="543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EAEBD" w14:textId="055F5400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24667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3AAAB" w14:textId="3DEA2A78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74661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0121" w:rsidRPr="00E45047" w14:paraId="600DF6D7" w14:textId="77777777" w:rsidTr="00E728E5">
        <w:trPr>
          <w:trHeight w:val="543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CBDD2" w14:textId="517D5E1F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Contact Information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B2397" w14:textId="08ABFF10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12CE6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4539E" w14:textId="61CAC4F4" w:rsidR="005B0121" w:rsidRPr="006C484D" w:rsidRDefault="00540CFE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>Phone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882C8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0121" w:rsidRPr="00E45047" w14:paraId="37BD277B" w14:textId="77777777" w:rsidTr="00E728E5">
        <w:trPr>
          <w:trHeight w:val="502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37B30" w14:textId="1FF11B96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Postal Address</w:t>
            </w:r>
          </w:p>
        </w:tc>
        <w:tc>
          <w:tcPr>
            <w:tcW w:w="7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9952F" w14:textId="77777777" w:rsidR="005B0121" w:rsidRPr="006C484D" w:rsidRDefault="005B0121" w:rsidP="006C48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Theme="majorHAnsi" w:hAnsi="Book Antiqua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5B0121" w:rsidRPr="00E45047" w14:paraId="6FF7E4AE" w14:textId="77777777" w:rsidTr="00E728E5">
        <w:trPr>
          <w:trHeight w:val="1832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079D0" w14:textId="07D0F4FA" w:rsidR="005B0121" w:rsidRPr="006C484D" w:rsidRDefault="000E1160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Competition Entry</w:t>
            </w:r>
          </w:p>
        </w:tc>
        <w:tc>
          <w:tcPr>
            <w:tcW w:w="7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E227E" w14:textId="6E652F25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● </w:t>
            </w:r>
            <w:r w:rsidR="005E6F66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Slogan(s)</w:t>
            </w: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: </w:t>
            </w:r>
          </w:p>
          <w:p w14:paraId="252DEE0D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1. </w:t>
            </w:r>
          </w:p>
          <w:p w14:paraId="6E123DFD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2. </w:t>
            </w:r>
          </w:p>
          <w:p w14:paraId="4CE107DF" w14:textId="6EF68A04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ascii="Book Antiqua" w:eastAsiaTheme="majorHAnsi" w:hAnsi="Book Antiqua" w:cs="굴림"/>
                <w:color w:val="000000"/>
                <w:kern w:val="0"/>
                <w:szCs w:val="20"/>
              </w:rPr>
            </w:pPr>
            <w:r w:rsidRPr="006C484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Cs w:val="20"/>
              </w:rPr>
              <w:t xml:space="preserve"> </w:t>
            </w:r>
            <w:r w:rsidR="005E6F66" w:rsidRPr="006C484D">
              <w:rPr>
                <w:rFonts w:ascii="Book Antiqua" w:eastAsiaTheme="majorHAnsi" w:hAnsi="Book Antiqua" w:cs="굴림"/>
                <w:color w:val="000000"/>
                <w:kern w:val="0"/>
                <w:szCs w:val="20"/>
              </w:rPr>
              <w:t>Up to two slogans per person (in English or Korean)</w:t>
            </w:r>
          </w:p>
        </w:tc>
      </w:tr>
      <w:tr w:rsidR="005B0121" w:rsidRPr="00E45047" w14:paraId="41A421D1" w14:textId="77777777" w:rsidTr="00E728E5">
        <w:trPr>
          <w:trHeight w:val="12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CCBEB" w14:textId="77777777" w:rsidR="005B0121" w:rsidRPr="006C484D" w:rsidRDefault="005B0121" w:rsidP="006C48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7AEA4" w14:textId="1A013E33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● </w:t>
            </w:r>
            <w:r w:rsidR="00A274D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Brief d</w:t>
            </w:r>
            <w:r w:rsidR="005E6F66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escription </w:t>
            </w:r>
            <w:r w:rsidR="00427F10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of chosen slogans</w:t>
            </w: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3DF3B33A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  <w:p w14:paraId="492F9641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32" w:right="280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B0121" w:rsidRPr="00E45047" w14:paraId="34AAA06A" w14:textId="77777777" w:rsidTr="00E728E5">
        <w:trPr>
          <w:trHeight w:val="4040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B21F79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  <w:p w14:paraId="61BD6A06" w14:textId="3CBBEECA" w:rsidR="004173F5" w:rsidRPr="006C484D" w:rsidRDefault="004173F5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544"/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By signing, the Applicant consents to publication and use of the slogan(s) </w:t>
            </w:r>
            <w:r w:rsidR="00633360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by </w:t>
            </w:r>
            <w:r w:rsidR="00427F10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the </w:t>
            </w:r>
            <w:r w:rsidR="00633360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International Vaccine Institute (IVI) </w:t>
            </w:r>
            <w:r w:rsidR="00A81CE7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by any means and in any and all forms of media </w:t>
            </w:r>
            <w:r w:rsidR="00427F10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at</w:t>
            </w:r>
            <w:r w:rsidR="00A81CE7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 the sole discretion of IVI</w:t>
            </w:r>
            <w:r w:rsidR="00427F10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,</w:t>
            </w:r>
            <w:r w:rsidR="005F24D2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 and to not </w:t>
            </w:r>
            <w:r w:rsidR="0061198E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appeal the </w:t>
            </w:r>
            <w:r w:rsidR="005F24D2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decision of the selection committee</w:t>
            </w:r>
            <w:r w:rsidR="00A81CE7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0DEFF853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  <w:p w14:paraId="4A164E49" w14:textId="07129728" w:rsidR="005B0121" w:rsidRPr="006C484D" w:rsidRDefault="00F90BDD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932027"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5B0121"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>2020</w:t>
            </w:r>
            <w:r w:rsidR="006C7306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.</w:t>
            </w:r>
            <w:r w:rsidR="005B0121"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32027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MM</w:t>
            </w:r>
            <w:r w:rsidR="006C7306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>.</w:t>
            </w:r>
            <w:r w:rsidR="00932027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 DD</w:t>
            </w:r>
            <w:r w:rsidR="005B0121" w:rsidRPr="006C484D"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C7306" w:rsidRPr="006C484D">
              <w:rPr>
                <w:rFonts w:ascii="Book Antiqua" w:eastAsiaTheme="majorHAnsi" w:hAnsi="Book Antiqua" w:cs="맑은 고딕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54C620F5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  <w:p w14:paraId="4FEB3A0F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color w:val="000000"/>
                <w:kern w:val="0"/>
                <w:sz w:val="24"/>
                <w:szCs w:val="24"/>
              </w:rPr>
            </w:pPr>
          </w:p>
          <w:p w14:paraId="0E1F303D" w14:textId="19B6B2CD" w:rsidR="005B0121" w:rsidRPr="006C484D" w:rsidRDefault="00F90BDD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proofErr w:type="gramStart"/>
            <w:r w:rsidR="006C7306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(</w:t>
            </w:r>
            <w:r w:rsidR="00BE0383"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>Signature</w:t>
            </w:r>
            <w:r w:rsidR="0041548B"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 xml:space="preserve"> or Seal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14:paraId="1BA078C3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645916D" w14:textId="684BE46B" w:rsidR="005B0121" w:rsidRPr="006C484D" w:rsidRDefault="00BE0383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>International Vaccine Institute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B0121" w:rsidRPr="006C484D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‧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C484D">
              <w:rPr>
                <w:rFonts w:ascii="Book Antiqua" w:eastAsiaTheme="majorHAnsi" w:hAnsi="Book Antiqua" w:cs="맑은 고딕"/>
                <w:b/>
                <w:bCs/>
                <w:color w:val="000000"/>
                <w:kern w:val="0"/>
                <w:sz w:val="24"/>
                <w:szCs w:val="24"/>
              </w:rPr>
              <w:t>Korea Support Committee for IVI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5E8F277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0121" w:rsidRPr="00E45047" w14:paraId="1DF7417A" w14:textId="77777777" w:rsidTr="00E728E5">
        <w:trPr>
          <w:trHeight w:val="3724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8CC8A" w14:textId="578BE527" w:rsidR="005B0121" w:rsidRPr="006C484D" w:rsidRDefault="002B3DAE" w:rsidP="006C484D">
            <w:pPr>
              <w:widowControl/>
              <w:wordWrap/>
              <w:autoSpaceDE/>
              <w:autoSpaceDN/>
              <w:snapToGrid w:val="0"/>
              <w:spacing w:before="120"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  <w:t>Consent to Collect</w:t>
            </w:r>
            <w:r w:rsidR="00515820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  <w:t>ion</w:t>
            </w: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and Use </w:t>
            </w:r>
            <w:r w:rsidR="00515820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of </w:t>
            </w: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26"/>
                <w:szCs w:val="26"/>
              </w:rPr>
              <w:t>Personal Information</w:t>
            </w:r>
          </w:p>
          <w:p w14:paraId="60AD64C7" w14:textId="2E0F604E" w:rsidR="006D2FC3" w:rsidRPr="006C484D" w:rsidRDefault="006D2FC3" w:rsidP="006C484D">
            <w:pPr>
              <w:widowControl/>
              <w:wordWrap/>
              <w:autoSpaceDE/>
              <w:autoSpaceDN/>
              <w:snapToGrid w:val="0"/>
              <w:spacing w:before="120" w:after="0" w:line="240" w:lineRule="auto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14:paraId="3FDF415E" w14:textId="13AF6BB6" w:rsidR="0051087D" w:rsidRPr="006C484D" w:rsidRDefault="0051087D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In accordance with Article 15 of the Personal Information Protection Act, </w:t>
            </w:r>
            <w:r w:rsidR="00BB5285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I hereby authorize International Vaccine Institute (IVI) to collect, retain, and use </w:t>
            </w:r>
            <w:r w:rsidR="00BE7D3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as detailed below </w:t>
            </w:r>
            <w:r w:rsidR="00D50D42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the personal information that I have provided in </w:t>
            </w:r>
            <w:r w:rsidR="00A518B4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above </w:t>
            </w:r>
            <w:r w:rsidR="00D50D42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Application Form. </w:t>
            </w:r>
          </w:p>
          <w:p w14:paraId="2803F68E" w14:textId="72798719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</w:p>
          <w:p w14:paraId="3B167F80" w14:textId="1E8BCA9E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·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Purpose of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c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ollection and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u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se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 : </w:t>
            </w:r>
            <w:r w:rsidR="00426ED0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To be used in the slogan competition to confirm applicant’s identity; to evaluate </w:t>
            </w:r>
            <w:r w:rsidR="00BE0101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submission entry</w:t>
            </w:r>
            <w:r w:rsidR="006263CF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; to </w:t>
            </w:r>
            <w:r w:rsidR="00DB26B9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publish in case of selection</w:t>
            </w:r>
          </w:p>
          <w:p w14:paraId="69262A23" w14:textId="451D1A4C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·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Items to be collected and used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 :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Name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,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Date of Birth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,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Contact Information 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(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Phone Number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,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Postal Address, E-mail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)</w:t>
            </w:r>
          </w:p>
          <w:p w14:paraId="782B7C58" w14:textId="40422141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· 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Period of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r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etention and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u</w:t>
            </w:r>
            <w:r w:rsidR="007F39EA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se</w:t>
            </w: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 :</w:t>
            </w:r>
            <w:r w:rsidR="006D5B59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 </w:t>
            </w:r>
            <w:r w:rsidR="002D0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Personal Information as above will be retained and used for 1 year after the result announcement.</w:t>
            </w:r>
          </w:p>
          <w:p w14:paraId="2CF4FDDA" w14:textId="77777777" w:rsidR="00B1305E" w:rsidRPr="006C484D" w:rsidRDefault="00B1305E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</w:p>
          <w:p w14:paraId="374E30EF" w14:textId="555EB28F" w:rsidR="005B0121" w:rsidRPr="006C484D" w:rsidRDefault="000830F6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  <w:r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I fully understand </w:t>
            </w:r>
            <w:r w:rsidR="00946E3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that I have the right to refuse consent</w:t>
            </w:r>
            <w:r w:rsidR="00887F48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 xml:space="preserve"> and that consent to collection and use of personal information as indicated above is compulsory </w:t>
            </w:r>
            <w:r w:rsidR="00F71AB6" w:rsidRPr="006C484D"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  <w:t>to be admitted to the slogan competition.</w:t>
            </w:r>
          </w:p>
          <w:p w14:paraId="28431BB2" w14:textId="77777777" w:rsidR="005B0121" w:rsidRPr="006C484D" w:rsidRDefault="005B0121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Book Antiqua" w:eastAsiaTheme="majorHAnsi" w:hAnsi="Book Antiqua" w:cs="굴림"/>
                <w:color w:val="000000"/>
                <w:kern w:val="0"/>
                <w:sz w:val="22"/>
              </w:rPr>
            </w:pPr>
          </w:p>
          <w:p w14:paraId="318A33F0" w14:textId="617977CD" w:rsidR="005B0121" w:rsidRPr="006C484D" w:rsidRDefault="00571AFD" w:rsidP="006C484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0"/>
                <w:szCs w:val="30"/>
              </w:rPr>
              <w:t>I agree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□ </w:t>
            </w:r>
            <w:r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I do not agree</w:t>
            </w:r>
            <w:r w:rsidR="005B0121" w:rsidRPr="006C484D">
              <w:rPr>
                <w:rFonts w:ascii="Book Antiqua" w:eastAsiaTheme="majorHAnsi" w:hAnsi="Book Antiqua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□</w:t>
            </w:r>
          </w:p>
        </w:tc>
      </w:tr>
    </w:tbl>
    <w:p w14:paraId="31979D25" w14:textId="77777777" w:rsidR="005B0121" w:rsidRPr="00E45047" w:rsidRDefault="005B0121" w:rsidP="005B0121">
      <w:pPr>
        <w:rPr>
          <w:rFonts w:asciiTheme="majorHAnsi" w:eastAsiaTheme="majorHAnsi" w:hAnsiTheme="majorHAnsi"/>
        </w:rPr>
      </w:pPr>
    </w:p>
    <w:p w14:paraId="080C47DB" w14:textId="5A2D50C8" w:rsidR="005B0121" w:rsidRDefault="005B0121"/>
    <w:p w14:paraId="73385D01" w14:textId="77777777" w:rsidR="00BF71A0" w:rsidRPr="00E45047" w:rsidRDefault="00BF71A0">
      <w:pPr>
        <w:rPr>
          <w:rFonts w:asciiTheme="majorHAnsi" w:eastAsiaTheme="majorHAnsi" w:hAnsiTheme="majorHAnsi"/>
        </w:rPr>
      </w:pPr>
    </w:p>
    <w:sectPr w:rsidR="00BF71A0" w:rsidRPr="00E45047" w:rsidSect="003557ED">
      <w:pgSz w:w="11906" w:h="16838"/>
      <w:pgMar w:top="567" w:right="72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8DFD" w14:textId="77777777" w:rsidR="0089499F" w:rsidRDefault="0089499F" w:rsidP="003557ED">
      <w:pPr>
        <w:spacing w:after="0" w:line="240" w:lineRule="auto"/>
      </w:pPr>
      <w:r>
        <w:separator/>
      </w:r>
    </w:p>
  </w:endnote>
  <w:endnote w:type="continuationSeparator" w:id="0">
    <w:p w14:paraId="547B3C40" w14:textId="77777777" w:rsidR="0089499F" w:rsidRDefault="0089499F" w:rsidP="0035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 Sinmyeongjo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FB8E" w14:textId="77777777" w:rsidR="0089499F" w:rsidRDefault="0089499F" w:rsidP="003557ED">
      <w:pPr>
        <w:spacing w:after="0" w:line="240" w:lineRule="auto"/>
      </w:pPr>
      <w:r>
        <w:separator/>
      </w:r>
    </w:p>
  </w:footnote>
  <w:footnote w:type="continuationSeparator" w:id="0">
    <w:p w14:paraId="20C0D09F" w14:textId="77777777" w:rsidR="0089499F" w:rsidRDefault="0089499F" w:rsidP="0035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7"/>
    <w:rsid w:val="000830F6"/>
    <w:rsid w:val="000E1160"/>
    <w:rsid w:val="0027070E"/>
    <w:rsid w:val="002B3DAE"/>
    <w:rsid w:val="002D0E36"/>
    <w:rsid w:val="00354AD5"/>
    <w:rsid w:val="003557ED"/>
    <w:rsid w:val="00407F05"/>
    <w:rsid w:val="0041548B"/>
    <w:rsid w:val="004173F5"/>
    <w:rsid w:val="00426ED0"/>
    <w:rsid w:val="00427F10"/>
    <w:rsid w:val="0048562D"/>
    <w:rsid w:val="004870E2"/>
    <w:rsid w:val="0051087D"/>
    <w:rsid w:val="00515820"/>
    <w:rsid w:val="00535366"/>
    <w:rsid w:val="00540CFE"/>
    <w:rsid w:val="00571AFD"/>
    <w:rsid w:val="00584185"/>
    <w:rsid w:val="0059251C"/>
    <w:rsid w:val="005B0121"/>
    <w:rsid w:val="005E6F66"/>
    <w:rsid w:val="005F24D2"/>
    <w:rsid w:val="0061198E"/>
    <w:rsid w:val="006263CF"/>
    <w:rsid w:val="00633360"/>
    <w:rsid w:val="00666E4F"/>
    <w:rsid w:val="006C484D"/>
    <w:rsid w:val="006C7306"/>
    <w:rsid w:val="006D2FC3"/>
    <w:rsid w:val="006D5B59"/>
    <w:rsid w:val="007771C7"/>
    <w:rsid w:val="007D3222"/>
    <w:rsid w:val="007F39EA"/>
    <w:rsid w:val="00812D1B"/>
    <w:rsid w:val="00886477"/>
    <w:rsid w:val="00887F48"/>
    <w:rsid w:val="0089499F"/>
    <w:rsid w:val="00900476"/>
    <w:rsid w:val="00932027"/>
    <w:rsid w:val="00946E36"/>
    <w:rsid w:val="00A07BE1"/>
    <w:rsid w:val="00A232EB"/>
    <w:rsid w:val="00A2565F"/>
    <w:rsid w:val="00A274D1"/>
    <w:rsid w:val="00A518B4"/>
    <w:rsid w:val="00A739DD"/>
    <w:rsid w:val="00A81CE7"/>
    <w:rsid w:val="00B11C44"/>
    <w:rsid w:val="00B1305E"/>
    <w:rsid w:val="00B878D1"/>
    <w:rsid w:val="00BB5285"/>
    <w:rsid w:val="00BE0101"/>
    <w:rsid w:val="00BE0383"/>
    <w:rsid w:val="00BE7D3A"/>
    <w:rsid w:val="00BF71A0"/>
    <w:rsid w:val="00C530CE"/>
    <w:rsid w:val="00C54C54"/>
    <w:rsid w:val="00D50D42"/>
    <w:rsid w:val="00DB26B9"/>
    <w:rsid w:val="00E27162"/>
    <w:rsid w:val="00E45047"/>
    <w:rsid w:val="00E73829"/>
    <w:rsid w:val="00E93E6E"/>
    <w:rsid w:val="00F71AB6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C0C5"/>
  <w15:chartTrackingRefBased/>
  <w15:docId w15:val="{56019BB4-A1EC-411B-B6DE-C35B2B9E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5047"/>
    <w:pPr>
      <w:widowControl/>
      <w:wordWrap/>
      <w:autoSpaceDE/>
      <w:autoSpaceDN/>
      <w:snapToGrid w:val="0"/>
      <w:spacing w:after="0" w:line="384" w:lineRule="auto"/>
    </w:pPr>
    <w:rPr>
      <w:rFonts w:ascii="HY Sinmyeongjo" w:eastAsia="굴림" w:hAnsi="HY Sinmyeongjo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7F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3557ED"/>
  </w:style>
  <w:style w:type="paragraph" w:styleId="a6">
    <w:name w:val="footer"/>
    <w:basedOn w:val="a"/>
    <w:link w:val="Char1"/>
    <w:uiPriority w:val="99"/>
    <w:unhideWhenUsed/>
    <w:rsid w:val="0035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35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F17D39A049242AE2F51542762AEA0" ma:contentTypeVersion="10" ma:contentTypeDescription="Create a new document." ma:contentTypeScope="" ma:versionID="a8d105f6fd1cc896442e7a848b0541f2">
  <xsd:schema xmlns:xsd="http://www.w3.org/2001/XMLSchema" xmlns:xs="http://www.w3.org/2001/XMLSchema" xmlns:p="http://schemas.microsoft.com/office/2006/metadata/properties" xmlns:ns3="be951c91-9dbc-4ca1-af8a-c5ebeb87ad5d" targetNamespace="http://schemas.microsoft.com/office/2006/metadata/properties" ma:root="true" ma:fieldsID="ac6bfcf5d620ca4218993e620d1dfaa4" ns3:_="">
    <xsd:import namespace="be951c91-9dbc-4ca1-af8a-c5ebeb87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51c91-9dbc-4ca1-af8a-c5ebeb87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C054-6FE2-49C0-A3B3-4EC1CF66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51c91-9dbc-4ca1-af8a-c5ebeb87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349A7-3A1C-4CF3-83E1-25FA6BCC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B174-3936-40C1-96DF-CB0821EE7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5374BE-B1E9-404E-90F0-2CD0C260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Soyeon (Cindy) Park</dc:creator>
  <cp:keywords/>
  <dc:description/>
  <cp:lastModifiedBy>Kyung Hee Oh</cp:lastModifiedBy>
  <cp:revision>2</cp:revision>
  <dcterms:created xsi:type="dcterms:W3CDTF">2020-07-20T00:36:00Z</dcterms:created>
  <dcterms:modified xsi:type="dcterms:W3CDTF">2020-07-20T00:36:00Z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0x010100B3EF17D39A049242AE2F51542762AEA0</vt:lpwstr>
  </property>
</Properties>
</file>